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6F7" w:rsidRPr="00DA76F7" w:rsidRDefault="00DA76F7" w:rsidP="00DA76F7">
      <w:pPr>
        <w:spacing w:after="0" w:line="240" w:lineRule="auto"/>
        <w:jc w:val="center"/>
        <w:rPr>
          <w:rFonts w:ascii="inherit" w:eastAsia="Times New Roman" w:hAnsi="inherit" w:cs="Times New Roman"/>
          <w:color w:val="000000"/>
          <w:sz w:val="24"/>
          <w:szCs w:val="24"/>
        </w:rPr>
      </w:pPr>
      <w:r w:rsidRPr="00DA76F7">
        <w:rPr>
          <w:rFonts w:ascii="inherit" w:eastAsia="Times New Roman" w:hAnsi="inherit" w:cs="Times New Roman"/>
          <w:b/>
          <w:bCs/>
          <w:color w:val="000000"/>
          <w:sz w:val="24"/>
          <w:szCs w:val="24"/>
          <w:bdr w:val="none" w:sz="0" w:space="0" w:color="auto" w:frame="1"/>
        </w:rPr>
        <w:t>DB - 4</w:t>
      </w:r>
    </w:p>
    <w:p w:rsidR="00DA76F7" w:rsidRPr="00DA76F7" w:rsidRDefault="00DA76F7" w:rsidP="00DA76F7">
      <w:pPr>
        <w:spacing w:after="0" w:line="240" w:lineRule="auto"/>
        <w:jc w:val="center"/>
        <w:rPr>
          <w:rFonts w:ascii="inherit" w:eastAsia="Times New Roman" w:hAnsi="inherit" w:cs="Times New Roman"/>
          <w:color w:val="000000"/>
          <w:sz w:val="24"/>
          <w:szCs w:val="24"/>
        </w:rPr>
      </w:pPr>
      <w:r w:rsidRPr="00DA76F7">
        <w:rPr>
          <w:rFonts w:ascii="inherit" w:eastAsia="Times New Roman" w:hAnsi="inherit" w:cs="Times New Roman"/>
          <w:color w:val="000000"/>
          <w:sz w:val="24"/>
          <w:szCs w:val="24"/>
          <w:bdr w:val="none" w:sz="0" w:space="0" w:color="auto" w:frame="1"/>
        </w:rPr>
        <w:t xml:space="preserve">Randall </w:t>
      </w:r>
      <w:proofErr w:type="spellStart"/>
      <w:r w:rsidRPr="00DA76F7">
        <w:rPr>
          <w:rFonts w:ascii="inherit" w:eastAsia="Times New Roman" w:hAnsi="inherit" w:cs="Times New Roman"/>
          <w:color w:val="000000"/>
          <w:sz w:val="24"/>
          <w:szCs w:val="24"/>
          <w:bdr w:val="none" w:sz="0" w:space="0" w:color="auto" w:frame="1"/>
        </w:rPr>
        <w:t>Niznik</w:t>
      </w:r>
      <w:proofErr w:type="spellEnd"/>
    </w:p>
    <w:p w:rsidR="00DA76F7" w:rsidRPr="00DA76F7" w:rsidRDefault="00DA76F7" w:rsidP="00DA76F7">
      <w:pPr>
        <w:spacing w:after="0" w:line="240" w:lineRule="auto"/>
        <w:jc w:val="center"/>
        <w:rPr>
          <w:rFonts w:ascii="inherit" w:eastAsia="Times New Roman" w:hAnsi="inherit" w:cs="Times New Roman"/>
          <w:color w:val="000000"/>
          <w:sz w:val="24"/>
          <w:szCs w:val="24"/>
        </w:rPr>
      </w:pPr>
      <w:r w:rsidRPr="00DA76F7">
        <w:rPr>
          <w:rFonts w:ascii="inherit" w:eastAsia="Times New Roman" w:hAnsi="inherit" w:cs="Times New Roman"/>
          <w:color w:val="000000"/>
          <w:sz w:val="24"/>
          <w:szCs w:val="24"/>
          <w:bdr w:val="none" w:sz="0" w:space="0" w:color="auto" w:frame="1"/>
        </w:rPr>
        <w:t>Liberty University</w:t>
      </w:r>
    </w:p>
    <w:p w:rsidR="00DA76F7" w:rsidRPr="00DA76F7" w:rsidRDefault="00DA76F7" w:rsidP="00DA76F7">
      <w:pPr>
        <w:spacing w:after="0" w:line="240" w:lineRule="auto"/>
        <w:jc w:val="center"/>
        <w:rPr>
          <w:rFonts w:ascii="inherit" w:eastAsia="Times New Roman" w:hAnsi="inherit" w:cs="Times New Roman"/>
          <w:color w:val="000000"/>
          <w:sz w:val="24"/>
          <w:szCs w:val="24"/>
        </w:rPr>
      </w:pPr>
      <w:r w:rsidRPr="00DA76F7">
        <w:rPr>
          <w:rFonts w:ascii="inherit" w:eastAsia="Times New Roman" w:hAnsi="inherit" w:cs="Times New Roman"/>
          <w:color w:val="000000"/>
          <w:sz w:val="24"/>
          <w:szCs w:val="24"/>
          <w:bdr w:val="none" w:sz="0" w:space="0" w:color="auto" w:frame="1"/>
        </w:rPr>
        <w:t>Business 646</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sz w:val="24"/>
          <w:szCs w:val="24"/>
        </w:rPr>
        <w:br/>
        <w:t xml:space="preserve">Over the years the compensation of executives and management have come under major scrutiny, healthcare chief executive officers earned roughly 4.3 million in combined compensation in 2015 alone (Du, </w:t>
      </w:r>
      <w:proofErr w:type="spellStart"/>
      <w:r w:rsidRPr="00DA76F7">
        <w:rPr>
          <w:rFonts w:ascii="Times New Roman" w:eastAsia="Times New Roman" w:hAnsi="Times New Roman" w:cs="Times New Roman"/>
          <w:sz w:val="24"/>
          <w:szCs w:val="24"/>
        </w:rPr>
        <w:t>Rascoe</w:t>
      </w:r>
      <w:proofErr w:type="spellEnd"/>
      <w:r w:rsidRPr="00DA76F7">
        <w:rPr>
          <w:rFonts w:ascii="Times New Roman" w:eastAsia="Times New Roman" w:hAnsi="Times New Roman" w:cs="Times New Roman"/>
          <w:sz w:val="24"/>
          <w:szCs w:val="24"/>
        </w:rPr>
        <w:t xml:space="preserve"> &amp; Marcus, 2018). Various studies have concluded that compensation of upper management usually exceeds most physician base salaries. A major contributing factor for executive compensation growth over the years in non-profit organizations can be linked to the board of directors, non-profit organization only answer to a voluntary board of directors and stakeholders (Du, </w:t>
      </w:r>
      <w:proofErr w:type="spellStart"/>
      <w:r w:rsidRPr="00DA76F7">
        <w:rPr>
          <w:rFonts w:ascii="Times New Roman" w:eastAsia="Times New Roman" w:hAnsi="Times New Roman" w:cs="Times New Roman"/>
          <w:sz w:val="24"/>
          <w:szCs w:val="24"/>
        </w:rPr>
        <w:t>Rascoe</w:t>
      </w:r>
      <w:proofErr w:type="spellEnd"/>
      <w:r w:rsidRPr="00DA76F7">
        <w:rPr>
          <w:rFonts w:ascii="Times New Roman" w:eastAsia="Times New Roman" w:hAnsi="Times New Roman" w:cs="Times New Roman"/>
          <w:sz w:val="24"/>
          <w:szCs w:val="24"/>
        </w:rPr>
        <w:t xml:space="preserve"> &amp; Marcus, 2018). It is also common for non-profit healthcare boards to contract consulting groups to analyze fair market value compensation for hospital administrators. Unfortunately, there may be conflicting incentives for these firms to recommend salary increases for administrators because this will possibly incentivize the future renewal of the consulting firm that was brought in for review.</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sz w:val="24"/>
          <w:szCs w:val="24"/>
        </w:rPr>
        <w:t xml:space="preserve">Any efforts made by the organization need to be strategically aligned, healthcare organizations need to decrease costs of non-revenue generating healthcare staff and improve overall productivity (Du, </w:t>
      </w:r>
      <w:proofErr w:type="spellStart"/>
      <w:r w:rsidRPr="00DA76F7">
        <w:rPr>
          <w:rFonts w:ascii="Times New Roman" w:eastAsia="Times New Roman" w:hAnsi="Times New Roman" w:cs="Times New Roman"/>
          <w:sz w:val="24"/>
          <w:szCs w:val="24"/>
        </w:rPr>
        <w:t>Rascoe</w:t>
      </w:r>
      <w:proofErr w:type="spellEnd"/>
      <w:r w:rsidRPr="00DA76F7">
        <w:rPr>
          <w:rFonts w:ascii="Times New Roman" w:eastAsia="Times New Roman" w:hAnsi="Times New Roman" w:cs="Times New Roman"/>
          <w:sz w:val="24"/>
          <w:szCs w:val="24"/>
        </w:rPr>
        <w:t xml:space="preserve"> &amp; Marcus, 2018). For example, the average healthcare executive makes more in two days than </w:t>
      </w:r>
      <w:proofErr w:type="spellStart"/>
      <w:proofErr w:type="gramStart"/>
      <w:r w:rsidRPr="00DA76F7">
        <w:rPr>
          <w:rFonts w:ascii="Times New Roman" w:eastAsia="Times New Roman" w:hAnsi="Times New Roman" w:cs="Times New Roman"/>
          <w:sz w:val="24"/>
          <w:szCs w:val="24"/>
        </w:rPr>
        <w:t>a</w:t>
      </w:r>
      <w:proofErr w:type="spellEnd"/>
      <w:proofErr w:type="gramEnd"/>
      <w:r w:rsidRPr="00DA76F7">
        <w:rPr>
          <w:rFonts w:ascii="Times New Roman" w:eastAsia="Times New Roman" w:hAnsi="Times New Roman" w:cs="Times New Roman"/>
          <w:sz w:val="24"/>
          <w:szCs w:val="24"/>
        </w:rPr>
        <w:t xml:space="preserve"> environmental service employee makes all year (</w:t>
      </w:r>
      <w:proofErr w:type="spellStart"/>
      <w:r w:rsidRPr="00DA76F7">
        <w:rPr>
          <w:rFonts w:ascii="Times New Roman" w:eastAsia="Times New Roman" w:hAnsi="Times New Roman" w:cs="Times New Roman"/>
          <w:sz w:val="24"/>
          <w:szCs w:val="24"/>
        </w:rPr>
        <w:t>Doroghazi</w:t>
      </w:r>
      <w:proofErr w:type="spellEnd"/>
      <w:r w:rsidRPr="00DA76F7">
        <w:rPr>
          <w:rFonts w:ascii="Times New Roman" w:eastAsia="Times New Roman" w:hAnsi="Times New Roman" w:cs="Times New Roman"/>
          <w:sz w:val="24"/>
          <w:szCs w:val="24"/>
        </w:rPr>
        <w:t xml:space="preserve">, 2016). In previous times healthcare executives of non-profit organizations had three important constituencies. The owners were usually </w:t>
      </w:r>
      <w:proofErr w:type="spellStart"/>
      <w:proofErr w:type="gramStart"/>
      <w:r w:rsidRPr="00DA76F7">
        <w:rPr>
          <w:rFonts w:ascii="Times New Roman" w:eastAsia="Times New Roman" w:hAnsi="Times New Roman" w:cs="Times New Roman"/>
          <w:sz w:val="24"/>
          <w:szCs w:val="24"/>
        </w:rPr>
        <w:t>a</w:t>
      </w:r>
      <w:proofErr w:type="spellEnd"/>
      <w:proofErr w:type="gramEnd"/>
      <w:r w:rsidRPr="00DA76F7">
        <w:rPr>
          <w:rFonts w:ascii="Times New Roman" w:eastAsia="Times New Roman" w:hAnsi="Times New Roman" w:cs="Times New Roman"/>
          <w:sz w:val="24"/>
          <w:szCs w:val="24"/>
        </w:rPr>
        <w:t xml:space="preserve"> academic institution, religious organization or academic institution. The focus was more on providing the best quality care to the community, not profits or increasing executive salaries. Patient satisfaction is the second constituency, increasing patient satisfaction can have a direct impact on executive salary than perfect clinical outcomes. Physicians are considered the least important constituency, administrators see physicians as a basic cost center which is controlled to increase profits, </w:t>
      </w:r>
      <w:proofErr w:type="gramStart"/>
      <w:r w:rsidRPr="00DA76F7">
        <w:rPr>
          <w:rFonts w:ascii="Times New Roman" w:eastAsia="Times New Roman" w:hAnsi="Times New Roman" w:cs="Times New Roman"/>
          <w:sz w:val="24"/>
          <w:szCs w:val="24"/>
        </w:rPr>
        <w:t>this</w:t>
      </w:r>
      <w:proofErr w:type="gramEnd"/>
      <w:r w:rsidRPr="00DA76F7">
        <w:rPr>
          <w:rFonts w:ascii="Times New Roman" w:eastAsia="Times New Roman" w:hAnsi="Times New Roman" w:cs="Times New Roman"/>
          <w:sz w:val="24"/>
          <w:szCs w:val="24"/>
        </w:rPr>
        <w:t xml:space="preserve"> is no different than a piece of capital machinery (</w:t>
      </w:r>
      <w:proofErr w:type="spellStart"/>
      <w:r w:rsidRPr="00DA76F7">
        <w:rPr>
          <w:rFonts w:ascii="Times New Roman" w:eastAsia="Times New Roman" w:hAnsi="Times New Roman" w:cs="Times New Roman"/>
          <w:sz w:val="24"/>
          <w:szCs w:val="24"/>
        </w:rPr>
        <w:t>Doroghazi</w:t>
      </w:r>
      <w:proofErr w:type="spellEnd"/>
      <w:r w:rsidRPr="00DA76F7">
        <w:rPr>
          <w:rFonts w:ascii="Times New Roman" w:eastAsia="Times New Roman" w:hAnsi="Times New Roman" w:cs="Times New Roman"/>
          <w:sz w:val="24"/>
          <w:szCs w:val="24"/>
        </w:rPr>
        <w:t>, 2016). CEOs over tax exempt institutions have benefited from this tax advantage to increase their salaries, and unfortunately, they are not using the funds to improve clinical services, lower patient care costs or increase the salaries of employees. </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sz w:val="24"/>
          <w:szCs w:val="24"/>
        </w:rPr>
        <w:t>Organizations need to rely on three types of equity in order to develop an accurate compensation system. Observing external equity will allow organizations to compare external market rates for similar positions. Internal equity can also be used to set wages that are similar to the internal value of each position. Employee equity is used for comparing pay across they system for similar positions or work load. Pay ranges are utilized according to experience and performance levels, salary ranges need to establish current market rates for benchmark jobs (</w:t>
      </w:r>
      <w:proofErr w:type="spellStart"/>
      <w:r w:rsidRPr="00DA76F7">
        <w:rPr>
          <w:rFonts w:ascii="Times New Roman" w:eastAsia="Times New Roman" w:hAnsi="Times New Roman" w:cs="Times New Roman"/>
          <w:sz w:val="24"/>
          <w:szCs w:val="24"/>
        </w:rPr>
        <w:t>Pynes</w:t>
      </w:r>
      <w:proofErr w:type="spellEnd"/>
      <w:r w:rsidRPr="00DA76F7">
        <w:rPr>
          <w:rFonts w:ascii="Times New Roman" w:eastAsia="Times New Roman" w:hAnsi="Times New Roman" w:cs="Times New Roman"/>
          <w:sz w:val="24"/>
          <w:szCs w:val="24"/>
        </w:rPr>
        <w:t> &amp; Lombardi, 2011). Healthcare organizations need to make sure that executive salaries are median or above median compared to other organizations in the market. Board members need to utilize the organizational resources in order to see if they can afford to offer a proper salary and benefit package for executives. According to consultants and non-profit officials, organizations need to pay high salaries in order to properly recruit and retain quality executives (</w:t>
      </w:r>
      <w:proofErr w:type="spellStart"/>
      <w:r w:rsidRPr="00DA76F7">
        <w:rPr>
          <w:rFonts w:ascii="Times New Roman" w:eastAsia="Times New Roman" w:hAnsi="Times New Roman" w:cs="Times New Roman"/>
          <w:sz w:val="24"/>
          <w:szCs w:val="24"/>
        </w:rPr>
        <w:t>Pynes</w:t>
      </w:r>
      <w:proofErr w:type="spellEnd"/>
      <w:r w:rsidRPr="00DA76F7">
        <w:rPr>
          <w:rFonts w:ascii="Times New Roman" w:eastAsia="Times New Roman" w:hAnsi="Times New Roman" w:cs="Times New Roman"/>
          <w:sz w:val="24"/>
          <w:szCs w:val="24"/>
        </w:rPr>
        <w:t xml:space="preserve"> &amp; Lombardi, 2011). The board of directors must make sure that executive salaries do not interfere with paying lower level employees a decent wage. If this occurs, overtime there will be constant turnover and </w:t>
      </w:r>
      <w:r w:rsidRPr="00DA76F7">
        <w:rPr>
          <w:rFonts w:ascii="Times New Roman" w:eastAsia="Times New Roman" w:hAnsi="Times New Roman" w:cs="Times New Roman"/>
          <w:sz w:val="24"/>
          <w:szCs w:val="24"/>
        </w:rPr>
        <w:lastRenderedPageBreak/>
        <w:t>unsatisfied employees, the organization will also be taking on more cost because of constant training and recruiting. </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sz w:val="24"/>
          <w:szCs w:val="24"/>
        </w:rPr>
        <w:t xml:space="preserve">In </w:t>
      </w:r>
      <w:r w:rsidRPr="00DA76F7">
        <w:rPr>
          <w:rFonts w:ascii="Times New Roman" w:eastAsia="Times New Roman" w:hAnsi="Times New Roman" w:cs="Times New Roman"/>
          <w:b/>
          <w:bCs/>
          <w:sz w:val="24"/>
          <w:szCs w:val="24"/>
        </w:rPr>
        <w:t>Proverbs (11:18)</w:t>
      </w:r>
      <w:r w:rsidRPr="00DA76F7">
        <w:rPr>
          <w:rFonts w:ascii="Times New Roman" w:eastAsia="Times New Roman" w:hAnsi="Times New Roman" w:cs="Times New Roman"/>
          <w:sz w:val="24"/>
          <w:szCs w:val="24"/>
        </w:rPr>
        <w:t xml:space="preserve"> it </w:t>
      </w:r>
      <w:proofErr w:type="spellStart"/>
      <w:r w:rsidRPr="00DA76F7">
        <w:rPr>
          <w:rFonts w:ascii="Times New Roman" w:eastAsia="Times New Roman" w:hAnsi="Times New Roman" w:cs="Times New Roman"/>
          <w:sz w:val="24"/>
          <w:szCs w:val="24"/>
        </w:rPr>
        <w:t>says,"The</w:t>
      </w:r>
      <w:proofErr w:type="spellEnd"/>
      <w:r w:rsidRPr="00DA76F7">
        <w:rPr>
          <w:rFonts w:ascii="Times New Roman" w:eastAsia="Times New Roman" w:hAnsi="Times New Roman" w:cs="Times New Roman"/>
          <w:sz w:val="24"/>
          <w:szCs w:val="24"/>
        </w:rPr>
        <w:t xml:space="preserve"> wicked earn deceptive wages, but he who sows righteousness gets a true reward." Organizations need to make sure they have a proficient compensation system in place, there are multiple factors to look at when assessing employee or executive salaries. There needs to be internal, external, and employee equity in order to influence an organizations compensation system. Around 2010, the Obama Administration introduced disclosure of pay ratios into US corporate law, these disclosure models are essentially designed to convince shareholders to address excessive executive remuneration packages. Pay disclosure regulation needs to be monitored closely in regard to industrial and corporate policy and </w:t>
      </w:r>
      <w:r w:rsidRPr="00DA76F7">
        <w:rPr>
          <w:rFonts w:ascii="Times New Roman" w:eastAsia="Times New Roman" w:hAnsi="Times New Roman" w:cs="Times New Roman"/>
          <w:color w:val="000000"/>
          <w:sz w:val="20"/>
          <w:szCs w:val="20"/>
        </w:rPr>
        <w:t>unfortunately, the system basically relies on the will of stakeholders (Schofield-</w:t>
      </w:r>
      <w:proofErr w:type="spellStart"/>
      <w:r w:rsidRPr="00DA76F7">
        <w:rPr>
          <w:rFonts w:ascii="Times New Roman" w:eastAsia="Times New Roman" w:hAnsi="Times New Roman" w:cs="Times New Roman"/>
          <w:color w:val="000000"/>
          <w:sz w:val="20"/>
          <w:szCs w:val="20"/>
        </w:rPr>
        <w:t>Georgeson</w:t>
      </w:r>
      <w:proofErr w:type="spellEnd"/>
      <w:r w:rsidRPr="00DA76F7">
        <w:rPr>
          <w:rFonts w:ascii="Times New Roman" w:eastAsia="Times New Roman" w:hAnsi="Times New Roman" w:cs="Times New Roman"/>
          <w:color w:val="000000"/>
          <w:sz w:val="20"/>
          <w:szCs w:val="20"/>
        </w:rPr>
        <w:t>, 2018). </w:t>
      </w:r>
    </w:p>
    <w:p w:rsidR="00DA76F7" w:rsidRPr="00DA76F7" w:rsidRDefault="00DA76F7" w:rsidP="00DA76F7">
      <w:pPr>
        <w:spacing w:after="240" w:line="240" w:lineRule="auto"/>
        <w:rPr>
          <w:rFonts w:ascii="Times New Roman" w:eastAsia="Times New Roman" w:hAnsi="Times New Roman" w:cs="Times New Roman"/>
          <w:sz w:val="24"/>
          <w:szCs w:val="24"/>
        </w:rPr>
      </w:pP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b/>
          <w:bCs/>
          <w:sz w:val="24"/>
          <w:szCs w:val="24"/>
        </w:rPr>
        <w:t>References:</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proofErr w:type="spellStart"/>
      <w:r w:rsidRPr="00DA76F7">
        <w:rPr>
          <w:rFonts w:ascii="Times New Roman" w:eastAsia="Times New Roman" w:hAnsi="Times New Roman" w:cs="Times New Roman"/>
          <w:sz w:val="24"/>
          <w:szCs w:val="24"/>
        </w:rPr>
        <w:t>Doroghazi</w:t>
      </w:r>
      <w:proofErr w:type="spellEnd"/>
      <w:r w:rsidRPr="00DA76F7">
        <w:rPr>
          <w:rFonts w:ascii="Times New Roman" w:eastAsia="Times New Roman" w:hAnsi="Times New Roman" w:cs="Times New Roman"/>
          <w:sz w:val="24"/>
          <w:szCs w:val="24"/>
        </w:rPr>
        <w:t>, R. M., MD. (2016). Negative secular trends in medicine: High CEO salaries. American Journal of Medicine, the, 129(2), e1-e2. doi:10.1016/j.amjmed.2015.07.018.</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color w:val="303030"/>
          <w:sz w:val="24"/>
          <w:szCs w:val="24"/>
        </w:rPr>
        <w:t xml:space="preserve">Du, J. Y., </w:t>
      </w:r>
      <w:proofErr w:type="spellStart"/>
      <w:r w:rsidRPr="00DA76F7">
        <w:rPr>
          <w:rFonts w:ascii="Times New Roman" w:eastAsia="Times New Roman" w:hAnsi="Times New Roman" w:cs="Times New Roman"/>
          <w:color w:val="303030"/>
          <w:sz w:val="24"/>
          <w:szCs w:val="24"/>
        </w:rPr>
        <w:t>Rascoe</w:t>
      </w:r>
      <w:proofErr w:type="spellEnd"/>
      <w:r w:rsidRPr="00DA76F7">
        <w:rPr>
          <w:rFonts w:ascii="Times New Roman" w:eastAsia="Times New Roman" w:hAnsi="Times New Roman" w:cs="Times New Roman"/>
          <w:color w:val="303030"/>
          <w:sz w:val="24"/>
          <w:szCs w:val="24"/>
        </w:rPr>
        <w:t xml:space="preserve">, A. S., &amp; Marcus, R. E. (2018). The Growing Executive-Physician Wage Gap in Major US Nonprofit Hospitals and Burden of Nonclinical Workers on the US Healthcare System. </w:t>
      </w:r>
      <w:r w:rsidRPr="00DA76F7">
        <w:rPr>
          <w:rFonts w:ascii="Times New Roman" w:eastAsia="Times New Roman" w:hAnsi="Times New Roman" w:cs="Times New Roman"/>
          <w:i/>
          <w:iCs/>
          <w:sz w:val="24"/>
          <w:szCs w:val="24"/>
        </w:rPr>
        <w:t>Clinical orthopedics and related research</w:t>
      </w:r>
      <w:r w:rsidRPr="00DA76F7">
        <w:rPr>
          <w:rFonts w:ascii="Times New Roman" w:eastAsia="Times New Roman" w:hAnsi="Times New Roman" w:cs="Times New Roman"/>
          <w:i/>
          <w:iCs/>
          <w:color w:val="303030"/>
          <w:sz w:val="24"/>
          <w:szCs w:val="24"/>
        </w:rPr>
        <w:t xml:space="preserve">, </w:t>
      </w:r>
      <w:r w:rsidRPr="00DA76F7">
        <w:rPr>
          <w:rFonts w:ascii="Times New Roman" w:eastAsia="Times New Roman" w:hAnsi="Times New Roman" w:cs="Times New Roman"/>
          <w:i/>
          <w:iCs/>
          <w:sz w:val="24"/>
          <w:szCs w:val="24"/>
        </w:rPr>
        <w:t>476</w:t>
      </w:r>
      <w:r w:rsidRPr="00DA76F7">
        <w:rPr>
          <w:rFonts w:ascii="Times New Roman" w:eastAsia="Times New Roman" w:hAnsi="Times New Roman" w:cs="Times New Roman"/>
          <w:color w:val="303030"/>
          <w:sz w:val="24"/>
          <w:szCs w:val="24"/>
        </w:rPr>
        <w:t>(10), 1910–1919. https://doi.org/10.1097/CORR.0000000000000394.</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proofErr w:type="spellStart"/>
      <w:r w:rsidRPr="00DA76F7">
        <w:rPr>
          <w:rFonts w:ascii="Times New Roman" w:eastAsia="Times New Roman" w:hAnsi="Times New Roman" w:cs="Times New Roman"/>
          <w:color w:val="303030"/>
          <w:sz w:val="24"/>
          <w:szCs w:val="24"/>
        </w:rPr>
        <w:t>Pynes</w:t>
      </w:r>
      <w:proofErr w:type="spellEnd"/>
      <w:r w:rsidRPr="00DA76F7">
        <w:rPr>
          <w:rFonts w:ascii="Times New Roman" w:eastAsia="Times New Roman" w:hAnsi="Times New Roman" w:cs="Times New Roman"/>
          <w:color w:val="303030"/>
          <w:sz w:val="24"/>
          <w:szCs w:val="24"/>
        </w:rPr>
        <w:t xml:space="preserve">, J. E., &amp; Lombardi, D. N. (2011). Human resources management for health care organizations: </w:t>
      </w:r>
      <w:r w:rsidRPr="00DA76F7">
        <w:rPr>
          <w:rFonts w:ascii="Times New Roman" w:eastAsia="Times New Roman" w:hAnsi="Times New Roman" w:cs="Times New Roman"/>
          <w:i/>
          <w:iCs/>
          <w:color w:val="303030"/>
          <w:sz w:val="24"/>
          <w:szCs w:val="24"/>
        </w:rPr>
        <w:t>A strategic approach</w:t>
      </w:r>
      <w:r w:rsidRPr="00DA76F7">
        <w:rPr>
          <w:rFonts w:ascii="Times New Roman" w:eastAsia="Times New Roman" w:hAnsi="Times New Roman" w:cs="Times New Roman"/>
          <w:color w:val="303030"/>
          <w:sz w:val="24"/>
          <w:szCs w:val="24"/>
        </w:rPr>
        <w:t xml:space="preserve">. San Francisco, CA: </w:t>
      </w:r>
      <w:proofErr w:type="spellStart"/>
      <w:r w:rsidRPr="00DA76F7">
        <w:rPr>
          <w:rFonts w:ascii="Times New Roman" w:eastAsia="Times New Roman" w:hAnsi="Times New Roman" w:cs="Times New Roman"/>
          <w:color w:val="303030"/>
          <w:sz w:val="24"/>
          <w:szCs w:val="24"/>
        </w:rPr>
        <w:t>Jossey</w:t>
      </w:r>
      <w:proofErr w:type="spellEnd"/>
      <w:r w:rsidRPr="00DA76F7">
        <w:rPr>
          <w:rFonts w:ascii="Times New Roman" w:eastAsia="Times New Roman" w:hAnsi="Times New Roman" w:cs="Times New Roman"/>
          <w:color w:val="303030"/>
          <w:sz w:val="24"/>
          <w:szCs w:val="24"/>
        </w:rPr>
        <w:t>-Bass.</w:t>
      </w:r>
    </w:p>
    <w:p w:rsidR="00DA76F7" w:rsidRPr="00DA76F7" w:rsidRDefault="00DA76F7" w:rsidP="00DA76F7">
      <w:pPr>
        <w:spacing w:before="100" w:beforeAutospacing="1" w:after="100" w:afterAutospacing="1" w:line="240" w:lineRule="auto"/>
        <w:rPr>
          <w:rFonts w:ascii="Times New Roman" w:eastAsia="Times New Roman" w:hAnsi="Times New Roman" w:cs="Times New Roman"/>
          <w:sz w:val="24"/>
          <w:szCs w:val="24"/>
        </w:rPr>
      </w:pPr>
      <w:r w:rsidRPr="00DA76F7">
        <w:rPr>
          <w:rFonts w:ascii="Times New Roman" w:eastAsia="Times New Roman" w:hAnsi="Times New Roman" w:cs="Times New Roman"/>
          <w:color w:val="303030"/>
          <w:sz w:val="24"/>
          <w:szCs w:val="24"/>
        </w:rPr>
        <w:t>Schofield-</w:t>
      </w:r>
      <w:proofErr w:type="spellStart"/>
      <w:r w:rsidRPr="00DA76F7">
        <w:rPr>
          <w:rFonts w:ascii="Times New Roman" w:eastAsia="Times New Roman" w:hAnsi="Times New Roman" w:cs="Times New Roman"/>
          <w:color w:val="303030"/>
          <w:sz w:val="24"/>
          <w:szCs w:val="24"/>
        </w:rPr>
        <w:t>Georgeson</w:t>
      </w:r>
      <w:proofErr w:type="spellEnd"/>
      <w:r w:rsidRPr="00DA76F7">
        <w:rPr>
          <w:rFonts w:ascii="Times New Roman" w:eastAsia="Times New Roman" w:hAnsi="Times New Roman" w:cs="Times New Roman"/>
          <w:color w:val="303030"/>
          <w:sz w:val="24"/>
          <w:szCs w:val="24"/>
        </w:rPr>
        <w:t xml:space="preserve">, E. (2018). Regulating executive salaries and reducing pay disparities: Is pay disclosure the answer? </w:t>
      </w:r>
      <w:r w:rsidRPr="00DA76F7">
        <w:rPr>
          <w:rFonts w:ascii="Times New Roman" w:eastAsia="Times New Roman" w:hAnsi="Times New Roman" w:cs="Times New Roman"/>
          <w:i/>
          <w:iCs/>
          <w:color w:val="303030"/>
          <w:sz w:val="24"/>
          <w:szCs w:val="24"/>
        </w:rPr>
        <w:t>Journal of Australian Political Economy,</w:t>
      </w:r>
      <w:r w:rsidRPr="00DA76F7">
        <w:rPr>
          <w:rFonts w:ascii="Times New Roman" w:eastAsia="Times New Roman" w:hAnsi="Times New Roman" w:cs="Times New Roman"/>
          <w:color w:val="303030"/>
          <w:sz w:val="24"/>
          <w:szCs w:val="24"/>
        </w:rPr>
        <w:t xml:space="preserve"> (81), 95-120. </w:t>
      </w:r>
    </w:p>
    <w:p w:rsidR="00BB3529" w:rsidRDefault="00BB3529">
      <w:bookmarkStart w:id="0" w:name="_GoBack"/>
      <w:bookmarkEnd w:id="0"/>
    </w:p>
    <w:sectPr w:rsidR="00BB3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6F7"/>
    <w:rsid w:val="001E4A79"/>
    <w:rsid w:val="00281780"/>
    <w:rsid w:val="00384F11"/>
    <w:rsid w:val="003F0B71"/>
    <w:rsid w:val="00787283"/>
    <w:rsid w:val="00831BBD"/>
    <w:rsid w:val="00904F65"/>
    <w:rsid w:val="00946FD8"/>
    <w:rsid w:val="009C4849"/>
    <w:rsid w:val="00A447CA"/>
    <w:rsid w:val="00A71242"/>
    <w:rsid w:val="00AB7DA9"/>
    <w:rsid w:val="00B6017C"/>
    <w:rsid w:val="00BB3529"/>
    <w:rsid w:val="00CA6C29"/>
    <w:rsid w:val="00DA76F7"/>
    <w:rsid w:val="00DC186F"/>
    <w:rsid w:val="00DC70BB"/>
    <w:rsid w:val="00EB68EC"/>
    <w:rsid w:val="00F7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D13C7C-FAC9-4A2F-8C3D-9A39B3FE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76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76F7"/>
    <w:rPr>
      <w:b/>
      <w:bCs/>
    </w:rPr>
  </w:style>
  <w:style w:type="character" w:customStyle="1" w:styleId="normaltextrun">
    <w:name w:val="normaltextrun"/>
    <w:basedOn w:val="DefaultParagraphFont"/>
    <w:rsid w:val="00DA76F7"/>
  </w:style>
  <w:style w:type="character" w:styleId="Emphasis">
    <w:name w:val="Emphasis"/>
    <w:basedOn w:val="DefaultParagraphFont"/>
    <w:uiPriority w:val="20"/>
    <w:qFormat/>
    <w:rsid w:val="00DA76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513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2020-07-31T05:06:00Z</dcterms:created>
  <dcterms:modified xsi:type="dcterms:W3CDTF">2020-07-31T05:06:00Z</dcterms:modified>
</cp:coreProperties>
</file>